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margin">
              <wp:posOffset>432435</wp:posOffset>
            </wp:positionH>
            <wp:positionV relativeFrom="paragraph">
              <wp:posOffset>13970</wp:posOffset>
            </wp:positionV>
            <wp:extent cx="576580" cy="909955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-556" l="-877" r="-876" t="-555"/>
                    <a:stretch>
                      <a:fillRect/>
                    </a:stretch>
                  </pic:blipFill>
                  <pic:spPr>
                    <a:xfrm>
                      <a:off x="0" y="0"/>
                      <a:ext cx="576580" cy="909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COMUNE di CATANIA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ORDINANZA SINDACALE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Ordinanza n. 178 emessa giorno 25 ottobre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OGGETTO: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Misure di sicurezza a tutela della pubblica incolumità della popolazione da attivare in caso di emergenza idrogeologica.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IL SINDACO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PREMESSO che: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64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la Sala Operativa della Protezione Civile Regionale, tramite bollettino n.  19298 del 25.10.2019, ha comunicato che dalle prime ore di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domani sabato 26 ottobre 2019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e per le successive 24 ore, si prevedono precipitazioni da sparse e diffuse a carattere di rovescio o temporale e i fenomeni  saranno accompagnati da rovesci di forte intensità, frequente attività elettrica, locali grandinate e forti raffiche di vento con livello di criticità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ALLARME – codice ROSSO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per rischio idrogeologico per tutta la Regione;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64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sono state allertate tutte le strutture comunali competenti in ragione dell’evento: Polizia Municipale - UTU, Direzione Pubblica Istruzione, Direzione Ecologia e Ambiente, Direzione Mobilità, Direzione Lavori Pubblici, Direzione Manutenzioni, Protezione Civile Comunale;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è stata accertata la condizione di emergenza in funzione del rischio a cui è esposta la popolazione coinvolta dall’evento in questione;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CONSIDERATO che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: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64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le indicazioni riportate nell'allerta meteo pervenuto, evidenziano uno scenario di rischio e di vulnerabilità del territorio comunale;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64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si rende opportuno e necessario stabilire specifiche misure cautelative in ordine alla viabilità e ad alcuni servizi pubblici ed indicare alla popolazione norme minime comportamentali precauzionali da seguire per tutta la durata delle Allerta Meteo Idrologiche, sia prima che durante l’evento;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in particolare è necessario pianificare le misure relative alla limitazione o all’interdizione degli accessi nelle aree o infrastrutture esposte al rischio, alla permanenza nei locali interrati e/o seminterrati nonché in quelli siti allo stesso livello del piano stradale a rischio inondazione e/o allagamento, alla chiusura delle scuole;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CONSIDERATO altresì che: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l’evento meteorologico previsto dal bollettino della SORIS determina uno scenario con effetti al suolo, non quantificabili preventivamente con sufficiente accuratezza nel tempo e nello spazio, ma possono determinare occasionale pericolosità per l’incolumità delle persone;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64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l'evento meteorologico previsto determina uno scenario idrologico che configura allagamenti diffusi in ambito urbano ed extraurbano; configura inoltre un innalzamento dei livelli negli alvei dei torrenti che possono provocare inondazioni localizzate nelle aree contigue all'alveo e possibile innesco di frane e/o smottamenti localizzati; pericolosità per l'incolumità delle persone e beni;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RILEVATO che: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64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l’Avviso pervenuto, dovrà essere comunicato alla popolazione mediante i consueti mezzi previsti dal Piano Comunale di Emergenza quali radio, televisione e ogni altro mezzo ritenuto idoneo, e comporterà il rispetto di specifiche norme comportamentali da parte della popolazione;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lo stato di allerta indicato comporta l’adozione di specifiche e ulteriori misure di protezione civile;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RITENUTO che: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62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l’art. 108, comma 1 punto c 1) del D. Lgs. n° 112/98 disciplina le funzioni e compiti amministrativi dello Stato conferiti alle Regioni e agli Enti Locali;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62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la legge 225/1992 e ss.mm.ii., istitutiva del Servizio Nazionale della Protezione Civile ed in particolare l’art. 15 prevede le competenze del Comune e le attribuzioni del Sindaco in materia di protezione civile;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62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il D.P.C.M. del 27 Febbraio 2004 stabilisce gli “Indirizzi operativi per la gestione organizzativa e funzionale del sistema di allertamento nazionale, statale e regionale per il rischio idrogeologico ed idraulico ai fini di protezione civile”;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62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il Piano di Emergenza Comunale delle Emergenze Meteo idrologiche approvato con Deliberazione di Consiglio Comunale n. 19 del 09/04/2013 prevede l’adozione di articolate misure di sicurezza da adottare nelle varie fasi di allarme ed evento in corso;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si rende conseguentemente necessario stabilire specifiche misure o attività di protezione civile, come previste dal presente provvedimento sussistendo i presupposti e le condizioni per l’emissione di ordinanza contingibile ed urgente ai sensi dell’Art. 54, comma 2 del D. Lgs. 267/2000;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VISTO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l’art. 12 del D.Lgs.2 gennaio 2018 n.1;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64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l’art. 54 comma 4 (Attribuzioni del Sindaco nei servizi di competenza statale) del TUEL;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64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la legge Regionale n.14 del 31 agosto 1998 – Norme in Materia di Protezione Civile;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64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l’articolo 69 (Provvedimenti Contingibili e Urgenti) della Legge Regionale Siciliana n. 16 del 15 marzo 1963 (Ordinamento Regionale degli Enti Locali).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64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l’art. 16 del D.P.R. 6 febbraio 1981, n. 66 che recita che “Il Sindaco, quale ufficiale del Governo, è Organo locale di protezione civile e provvede con tutti i mezzi a disposizione, agli interventi immediati, sentito S. E. il Prefetto”;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l’art. 15 (Competenze del Comune ed attribuzioni del sindaco) della Legge 24 febbraio 1992 n. 225 e ss. mm. e ii.;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 R D I N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Per le motivazioni espresse in premessa, che qui si intendono ripetute e trascritte, la chiusura per la giornata di sabato 26 ottobre 2019: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degli Istituti scolastici di ogni ordine e grado pubblici e privati;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dei Cimiteri Comunali;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del Giardino Bellini e tutti i Parchi Comunali;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la sospensione dei Mercati Rionali e della Fiera dei Morti;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 V V I S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La Popolazione di adottare le seguenti norme comportamentali che costituiscono misure precauzionali di Protezione Civile: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a) Prima dell’evento meteorologico previsto: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47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evitare di occupare e/o pernottare nei locali a piano strada o sottostanti il piano strada o locali inondabili;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47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predisporre paratie a protezione dei locali al piano strada, chiudere le porte di cantine e seminterrati e salvaguardare i beni mobili collocati in locali allagabili;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47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porre al sicuro i propri veicoli in zone non raggiungibili dall’allagamento;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47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limitare gli spostamenti a quanto di effettiva necessità;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47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prestare attenzione alle indicazioni fornite dalle Autorità, dalla radio, dalla tv e da tutte le altre fonti di informazione;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consultare il sito del Comune di Catania;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b) Al verificarsi e durante l’evento meteorologico: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52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non accedere né occupare i locali a piano strada o sottostanti il piano strada o locali inondabili;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52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non sostare su passerelle e ponti o nei pressi degli argini dei torrenti e nei sottopassi;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52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non transitare su passerelle e ponti o nei pressi degli argini dei torrenti e nei sottopassi;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52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limitare gli spostamenti a quanto di effettiva necessità;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52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rinunciare a mettere in salvo qualunque bene o materiale e trasferirsi subito in ambiente sicuro;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52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non tentare di raggiungere la propria destinazione, ma cercare riparo presso lo stabile più vicino e sicuro;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52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staccare l’interruttore della corrente e chiudere la valvola del gas, purché tali dispositivi non siano collocati in locali a piano strada o sottostanti il piano strada o in locali inondabili;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52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prima di abbandonare la zona di sicurezza accertarsi che sia dichiarato ufficialmente il cessato allarme;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52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prestare attenzione alle indicazioni fornite dalle Autorità, dalla radio e dalla tv;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consultare il sito del Comune di Catania;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INOLTRE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a) gli esercenti le attività di servizi, commerciali, artigianali, ricreative, sportive e religiose ubicate in locali interrati e/o seminterrati nonché in quelli siti allo stesso livello del piano stradale devono chiudere il proprio esercizio;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b) si deve limitare l’uso dell’auto e la circolazione pedonale, e inibire l’uso dei mezzi a due ruote, con attenzione per successive eventuali comunicazione di provvedimenti restrittivi per la viabilità;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c) gli Organi di Polizia stradale, in tutti i casi in cui la sosta è vietata e costituisce quindi, ai sensi e per le finalità del presente provvedimento, pericolo e grave intralcio alla circolazione, dispongono la rimozione forzata dei veicoli ai sensi dell’art. 159, comma 1 lett. c) del Codice della Strada;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d) I Direttori Lavori dei cantieri edili pubblici e privati occupanti porzioni di suolo pubblico privato dispongono la chiusura di tutti i cantieri edili;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e) provvedere alla predisposizione di misure e/o accorgimenti che garantiscano, rispetto all’incolumità delle persone, adeguate condizioni di messa in sicurezza dei contenitori per la raccolta differenziata e indifferenziata.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Il presente provvedimento ha efficacia immediata ai sensi dell’art. 21 bis L. 241/90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DISPONE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1) Che la presente ordinanza venga pubblicata all’Albo Pretorio del Comune.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2) Di notificare la presente ordinanza per le rispettive competenze: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52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a) alla Questura di Catania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52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b) alla Città Metropolitana di Catania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52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c) al Comando Provinciale Carabinieri di Catania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52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d) al Comando dei VV. F. di Catania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52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e) al Presidente della Regione Siciliana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52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f) al Dipartimento Regionale di Protezione Civile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52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g) al Dipartimento Nazionale di Protezione Civile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52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h) al Genio Civile di Catania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52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i) all’Ufficio Scolastico Provinciale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l) alla SORIS Sicilia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m) all'Autorità di Bacino della Regione Siciliana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 inviare la presente ordinanza alla Prefettura di Catania ai sensi dell’art. 54 comma 4 del TUEL n. 267/2000;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La presente ordinanza viene pubblicata mediante affissione all’Albo Pretorio della Casa Comunale, sul sito Web del Comune di Catania.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IL SINDACO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Dott. Salvo Pogliese</w:t>
      </w:r>
      <w:r w:rsidDel="00000000" w:rsidR="00000000" w:rsidRPr="00000000">
        <w:rPr>
          <w:rtl w:val="0"/>
        </w:rPr>
      </w:r>
    </w:p>
    <w:sectPr>
      <w:pgSz w:h="16838" w:w="11906"/>
      <w:pgMar w:bottom="1129" w:top="109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ahoma" w:eastAsia="SimSun" w:hAnsi="Calibri"/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highlight w:val="none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Caratteredinumerazione">
    <w:name w:val="Carattere di numerazione"/>
    <w:next w:val="Caratteredinumerazione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paragraph" w:styleId="Titolo1">
    <w:name w:val="Titolo1"/>
    <w:basedOn w:val="Normale"/>
    <w:next w:val="Corpodeltesto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highlight w:val="none"/>
      <w:effect w:val="none"/>
      <w:vertAlign w:val="baseline"/>
      <w:cs w:val="0"/>
      <w:em w:val="none"/>
      <w:lang w:bidi="ar-SA" w:eastAsia="en-US" w:val="it-IT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ahoma" w:eastAsia="SimSun" w:hAnsi="Calibri"/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en-US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en-US" w:val="it-IT"/>
    </w:rPr>
  </w:style>
  <w:style w:type="paragraph" w:styleId="Didascalia">
    <w:name w:val="Didascalia"/>
    <w:basedOn w:val="Normale"/>
    <w:next w:val="Didascalia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i w:val="1"/>
      <w:iCs w:val="1"/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bidi="ar-SA" w:eastAsia="en-US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en-US" w:val="it-IT"/>
    </w:rPr>
  </w:style>
  <w:style w:type="paragraph" w:styleId="Intestazione">
    <w:name w:val="Intestazione"/>
    <w:basedOn w:val="Normale"/>
    <w:next w:val="Corpodeltesto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highlight w:val="none"/>
      <w:effect w:val="none"/>
      <w:vertAlign w:val="baseline"/>
      <w:cs w:val="0"/>
      <w:em w:val="none"/>
      <w:lang w:bidi="ar-SA" w:eastAsia="en-US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SimSun" w:hAnsi="Calibri"/>
      <w:color w:val="000000"/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